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"/>
        <w:gridCol w:w="351"/>
        <w:gridCol w:w="2770"/>
        <w:gridCol w:w="1041"/>
        <w:gridCol w:w="85"/>
        <w:gridCol w:w="1329"/>
        <w:gridCol w:w="194"/>
        <w:gridCol w:w="88"/>
        <w:gridCol w:w="3713"/>
        <w:gridCol w:w="58"/>
        <w:gridCol w:w="23"/>
      </w:tblGrid>
      <w:tr>
        <w:tblPrEx/>
        <w:trPr>
          <w:gridBefore w:val="1"/>
          <w:jc w:val="center"/>
        </w:trPr>
        <w:tc>
          <w:tcPr>
            <w:gridSpan w:val="4"/>
            <w:shd w:val="clear" w:color="auto" w:fill="auto"/>
            <w:tcW w:w="4346" w:type="dxa"/>
            <w:vAlign w:val="center"/>
            <w:textDirection w:val="lrTb"/>
            <w:noWrap w:val="false"/>
          </w:tcPr>
          <w:p>
            <w:pPr>
              <w:ind w:hanging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W w:w="1629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628650" cy="929640"/>
                      <wp:effectExtent l="19050" t="0" r="0" b="0"/>
                      <wp:docPr id="1" name="Рисунок 1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88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628650" cy="92964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9.50pt;height:73.20pt;mso-wrap-distance-left:0.00pt;mso-wrap-distance-top:0.00pt;mso-wrap-distance-right:0.00pt;mso-wrap-distance-bottom:0.0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W w:w="3880" w:type="dxa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gridAfter w:val="2"/>
          <w:jc w:val="center"/>
        </w:trPr>
        <w:tc>
          <w:tcPr>
            <w:gridSpan w:val="4"/>
            <w:shd w:val="clear" w:color="auto" w:fill="auto"/>
            <w:tcW w:w="429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АДМИНИСТРАЦИЯ</w:t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ГОРОДА ВОТКИНСКА</w:t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W w:w="1630" w:type="dxa"/>
            <w:textDirection w:val="lrTb"/>
            <w:noWrap w:val="false"/>
          </w:tcPr>
          <w:p>
            <w:pPr>
              <w:jc w:val="center"/>
              <w:spacing w:line="48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W w:w="3883" w:type="dxa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ВОТКА КАР</w:t>
            </w:r>
            <w:r>
              <w:rPr>
                <w:b/>
                <w:sz w:val="22"/>
                <w:szCs w:val="22"/>
              </w:rPr>
            </w:r>
          </w:p>
          <w:p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АДМИНИСТРАЦИ</w:t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>
          <w:gridAfter w:val="1"/>
          <w:gridBefore w:val="1"/>
          <w:jc w:val="center"/>
          <w:trHeight w:val="675"/>
        </w:trPr>
        <w:tc>
          <w:tcPr>
            <w:gridSpan w:val="9"/>
            <w:shd w:val="clear" w:color="auto" w:fill="auto"/>
            <w:tcW w:w="9831" w:type="dxa"/>
            <w:vAlign w:val="center"/>
            <w:textDirection w:val="lrTb"/>
            <w:noWrap w:val="false"/>
          </w:tcPr>
          <w:p>
            <w:pPr>
              <w:jc w:val="center"/>
              <w:spacing w:line="36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ПОСТАНОВЛЕНИЕ</w:t>
            </w:r>
            <w:r>
              <w:rPr>
                <w:b/>
                <w:sz w:val="36"/>
                <w:szCs w:val="36"/>
              </w:rPr>
            </w:r>
          </w:p>
        </w:tc>
      </w:tr>
      <w:tr>
        <w:tblPrEx/>
        <w:trPr>
          <w:gridAfter w:val="1"/>
          <w:gridBefore w:val="2"/>
          <w:jc w:val="center"/>
        </w:trPr>
        <w:tc>
          <w:tcPr>
            <w:shd w:val="clear" w:color="auto" w:fill="auto"/>
            <w:tcBorders>
              <w:bottom w:val="single" w:color="auto" w:sz="4" w:space="0"/>
            </w:tcBorders>
            <w:tcW w:w="2804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08.05.2026</w:t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3"/>
            <w:shd w:val="clear" w:color="auto" w:fill="auto"/>
            <w:tcW w:w="2520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gridSpan w:val="4"/>
            <w:shd w:val="clear" w:color="auto" w:fill="auto"/>
            <w:tcW w:w="4143" w:type="dxa"/>
            <w:textDirection w:val="lrTb"/>
            <w:noWrap w:val="false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</w:t>
            </w:r>
            <w:r>
              <w:rPr>
                <w:b/>
                <w:sz w:val="28"/>
                <w:szCs w:val="28"/>
              </w:rPr>
              <w:t xml:space="preserve">№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518</w:t>
            </w:r>
            <w:r>
              <w:rPr>
                <w:b/>
                <w:sz w:val="28"/>
                <w:szCs w:val="28"/>
              </w:rPr>
            </w:r>
          </w:p>
        </w:tc>
      </w:tr>
    </w:tbl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36"/>
        <w:jc w:val="center"/>
        <w:widowControl/>
        <w:rPr>
          <w:rFonts w:ascii="Times New Roman" w:hAnsi="Times New Roman" w:cs="Times New Roman"/>
          <w:sz w:val="24"/>
          <w:szCs w:val="22"/>
        </w:rPr>
      </w:pPr>
      <w:r>
        <w:rPr>
          <w:rFonts w:ascii="Times New Roman" w:hAnsi="Times New Roman" w:cs="Times New Roman"/>
          <w:sz w:val="24"/>
          <w:szCs w:val="22"/>
        </w:rPr>
        <w:t xml:space="preserve">г. Воткинск</w:t>
      </w:r>
      <w:r>
        <w:rPr>
          <w:rFonts w:ascii="Times New Roman" w:hAnsi="Times New Roman" w:cs="Times New Roman"/>
          <w:sz w:val="24"/>
          <w:szCs w:val="22"/>
        </w:rPr>
      </w:r>
    </w:p>
    <w:p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</w:r>
      <w:r>
        <w:rPr>
          <w:rFonts w:ascii="Arial" w:hAnsi="Arial" w:cs="Arial"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510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</w:t>
      </w:r>
      <w:r>
        <w:rPr>
          <w:sz w:val="28"/>
          <w:szCs w:val="28"/>
        </w:rPr>
        <w:t xml:space="preserve">ений в муниципальную программу муниципального образования «Город Воткинск» «Формирование современной городской среды» на территории муниципального образования «Город Воткинск», утвержденную постановлением Администрации города Воткинска от 29.11.2017 № 2683</w:t>
      </w:r>
      <w:r>
        <w:rPr>
          <w:sz w:val="28"/>
          <w:szCs w:val="28"/>
        </w:rPr>
      </w:r>
    </w:p>
    <w:p>
      <w:pPr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jc w:val="both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ind w:firstLine="709"/>
        <w:jc w:val="both"/>
        <w:rPr>
          <w:b/>
          <w:sz w:val="28"/>
          <w:szCs w:val="28"/>
        </w:rPr>
      </w:pPr>
      <w:r>
        <w:rPr>
          <w:spacing w:val="2"/>
          <w:sz w:val="28"/>
          <w:szCs w:val="28"/>
          <w:shd w:val="clear" w:color="auto" w:fill="ffffff"/>
        </w:rPr>
        <w:t xml:space="preserve">В соответствии с </w:t>
      </w:r>
      <w:r>
        <w:rPr>
          <w:spacing w:val="2"/>
          <w:sz w:val="28"/>
          <w:szCs w:val="28"/>
          <w:shd w:val="clear" w:color="auto" w:fill="ffffff"/>
        </w:rPr>
        <w:t xml:space="preserve">Бюджетным Кодексом Р</w:t>
      </w:r>
      <w:r>
        <w:rPr>
          <w:spacing w:val="2"/>
          <w:sz w:val="28"/>
          <w:szCs w:val="28"/>
          <w:shd w:val="clear" w:color="auto" w:fill="ffffff"/>
        </w:rPr>
        <w:t xml:space="preserve">оссийской Федерации</w:t>
      </w:r>
      <w:r>
        <w:rPr>
          <w:spacing w:val="2"/>
          <w:sz w:val="28"/>
          <w:szCs w:val="28"/>
          <w:shd w:val="clear" w:color="auto" w:fill="ffffff"/>
        </w:rPr>
        <w:t xml:space="preserve">, </w:t>
      </w:r>
      <w:r>
        <w:rPr>
          <w:spacing w:val="2"/>
          <w:sz w:val="28"/>
          <w:szCs w:val="28"/>
          <w:shd w:val="clear" w:color="auto" w:fill="ffffff"/>
        </w:rPr>
        <w:t xml:space="preserve">постановлением Правительства Р</w:t>
      </w:r>
      <w:r>
        <w:rPr>
          <w:spacing w:val="2"/>
          <w:sz w:val="28"/>
          <w:szCs w:val="28"/>
          <w:shd w:val="clear" w:color="auto" w:fill="ffffff"/>
        </w:rPr>
        <w:t xml:space="preserve">оссийской </w:t>
      </w:r>
      <w:r>
        <w:rPr>
          <w:spacing w:val="2"/>
          <w:sz w:val="28"/>
          <w:szCs w:val="28"/>
          <w:shd w:val="clear" w:color="auto" w:fill="ffffff"/>
        </w:rPr>
        <w:t xml:space="preserve">Ф</w:t>
      </w:r>
      <w:r>
        <w:rPr>
          <w:spacing w:val="2"/>
          <w:sz w:val="28"/>
          <w:szCs w:val="28"/>
          <w:shd w:val="clear" w:color="auto" w:fill="ffffff"/>
        </w:rPr>
        <w:t xml:space="preserve">едерации</w:t>
      </w:r>
      <w:r>
        <w:rPr>
          <w:spacing w:val="2"/>
          <w:sz w:val="28"/>
          <w:szCs w:val="28"/>
          <w:shd w:val="clear" w:color="auto" w:fill="ffffff"/>
        </w:rPr>
        <w:t xml:space="preserve"> от 10.02.2017 № 169 «Об утве</w:t>
      </w:r>
      <w:r>
        <w:rPr>
          <w:spacing w:val="2"/>
          <w:sz w:val="28"/>
          <w:szCs w:val="28"/>
          <w:shd w:val="clear" w:color="auto" w:fill="ffffff"/>
        </w:rPr>
        <w:t xml:space="preserve">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>
        <w:rPr>
          <w:spacing w:val="2"/>
          <w:sz w:val="28"/>
          <w:szCs w:val="28"/>
          <w:shd w:val="clear" w:color="auto" w:fill="ffffff"/>
        </w:rPr>
        <w:t xml:space="preserve">постановлением Правительства Удмуртской Республики от 24.02.2025 № 89 «Об утверждении Порядка предоставления иных межбюджетных трансфертов из бюджета Удмуртской Республики бюджетам муниципальных образований в У</w:t>
      </w:r>
      <w:r>
        <w:rPr>
          <w:spacing w:val="2"/>
          <w:sz w:val="28"/>
          <w:szCs w:val="28"/>
          <w:shd w:val="clear" w:color="auto" w:fill="ffffff"/>
        </w:rPr>
        <w:t xml:space="preserve">дмуртской Республике на реализацию мероприятий, возникающих при выполнении полномочий органов местного самоуправления по организации благоустройства</w:t>
      </w:r>
      <w:r>
        <w:rPr>
          <w:spacing w:val="2"/>
          <w:sz w:val="28"/>
          <w:szCs w:val="28"/>
          <w:shd w:val="clear" w:color="auto" w:fill="ffffff"/>
        </w:rPr>
        <w:t xml:space="preserve">»</w:t>
      </w:r>
      <w:r>
        <w:rPr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 xml:space="preserve">руководствуясь</w:t>
      </w:r>
      <w:r>
        <w:rPr>
          <w:sz w:val="28"/>
          <w:szCs w:val="28"/>
        </w:rPr>
        <w:t xml:space="preserve"> Уставом муниципального образования «Город Воткинск», </w:t>
      </w:r>
      <w:r>
        <w:rPr>
          <w:spacing w:val="2"/>
          <w:sz w:val="28"/>
          <w:szCs w:val="28"/>
          <w:shd w:val="clear" w:color="auto" w:fill="ffffff"/>
        </w:rPr>
        <w:t xml:space="preserve">Администрация города Воткинска </w:t>
      </w:r>
      <w:r>
        <w:rPr>
          <w:b/>
          <w:sz w:val="28"/>
          <w:szCs w:val="28"/>
        </w:rPr>
        <w:t xml:space="preserve">п о с т а н о в л я е т:</w:t>
      </w:r>
      <w:r>
        <w:rPr>
          <w:b/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муниципальную программу муниципального образования «Город Воткинск» «Формирование современной городской среды» на территории муниципального образования «Город Воткинск»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утвержденную постановлением Администрации города Воткинска от 29.11.2017 № 2683 </w:t>
      </w:r>
      <w:r>
        <w:rPr>
          <w:sz w:val="28"/>
          <w:szCs w:val="28"/>
        </w:rPr>
        <w:t xml:space="preserve">(далее – муниципальная программа), следующие изменения:</w:t>
      </w:r>
      <w:r>
        <w:rPr>
          <w:sz w:val="28"/>
          <w:szCs w:val="28"/>
        </w:rPr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</w:t>
      </w:r>
      <w:r>
        <w:rPr>
          <w:sz w:val="28"/>
          <w:szCs w:val="28"/>
        </w:rPr>
        <w:t xml:space="preserve"> паспорт муниципальной программы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согласно приложению 1 к настоящему постановлению;</w:t>
      </w:r>
      <w:r>
        <w:rPr>
          <w:sz w:val="28"/>
          <w:szCs w:val="28"/>
        </w:rPr>
      </w:r>
    </w:p>
    <w:p>
      <w:pPr>
        <w:ind w:right="-29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раздел «Приоритеты муниципальной политики, цели, задачи в сфере социально-экономического развития, в рамках которой реализуется муниципальная программа» изложить в редакции приложения 2 к настоящему постановлению;</w:t>
      </w:r>
      <w:r>
        <w:rPr>
          <w:sz w:val="28"/>
          <w:szCs w:val="28"/>
        </w:rPr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 к муниципальной программе изложить в редакции приложения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 к настоящему постановлению;</w:t>
      </w:r>
      <w:r>
        <w:rPr>
          <w:sz w:val="28"/>
          <w:szCs w:val="28"/>
        </w:rPr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 к муниципальной программе изложить в редакции приложения </w:t>
      </w: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 к настоящему постановлению;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) приложение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к муниципальной программе изложить в редакции приложения </w:t>
      </w: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к муниципальной программе изложить в редакции приложения 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к настоящему постановлению;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д</w:t>
      </w:r>
      <w:r>
        <w:rPr>
          <w:sz w:val="28"/>
          <w:szCs w:val="28"/>
        </w:rPr>
        <w:t xml:space="preserve">ополнить приложением 1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муниципальной программе </w:t>
      </w:r>
      <w:r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 xml:space="preserve">7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постановлению.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 </w:t>
      </w:r>
      <w:r>
        <w:rPr>
          <w:sz w:val="28"/>
          <w:szCs w:val="28"/>
        </w:rPr>
        <w:t xml:space="preserve">Настоящее постановление подлежит обнародованию путем размещения в сетевом издании «Официальные документы муниципального образования «Город Воткинск».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вступает в силу после его официального обнародования.</w:t>
      </w:r>
      <w:r>
        <w:rPr>
          <w:sz w:val="28"/>
          <w:szCs w:val="28"/>
        </w:rPr>
      </w:r>
    </w:p>
    <w:p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</w:t>
      </w:r>
      <w:r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города Воткинска по архитектуре, строительству, жилищно-коммунальному хозяйству и транспорту.</w:t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А.В. Заметаев</w:t>
      </w:r>
      <w:r>
        <w:rPr>
          <w:sz w:val="28"/>
          <w:szCs w:val="28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3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Приложение 1</w:t>
      </w:r>
      <w:r>
        <w:rPr>
          <w:sz w:val="26"/>
          <w:szCs w:val="26"/>
        </w:rPr>
      </w:r>
    </w:p>
    <w:p>
      <w:pPr>
        <w:ind w:right="-34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к постановлению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Администрации города Воткинска</w:t>
      </w:r>
      <w:r>
        <w:rPr>
          <w:sz w:val="26"/>
          <w:szCs w:val="26"/>
        </w:rPr>
      </w:r>
    </w:p>
    <w:p>
      <w:pPr>
        <w:ind w:right="-426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</w:t>
      </w:r>
      <w:r>
        <w:rPr>
          <w:sz w:val="26"/>
          <w:szCs w:val="26"/>
        </w:rPr>
        <w:t xml:space="preserve">т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08.05.2026</w:t>
      </w:r>
      <w:r>
        <w:rPr>
          <w:sz w:val="26"/>
          <w:szCs w:val="26"/>
        </w:rPr>
        <w:t xml:space="preserve"> № </w:t>
      </w:r>
      <w:r>
        <w:rPr>
          <w:sz w:val="26"/>
          <w:szCs w:val="26"/>
        </w:rPr>
        <w:t xml:space="preserve">518</w:t>
      </w:r>
      <w:bookmarkStart w:id="0" w:name="_GoBack"/>
      <w:r/>
      <w:bookmarkEnd w:id="0"/>
      <w:r/>
      <w:r>
        <w:rPr>
          <w:sz w:val="26"/>
          <w:szCs w:val="26"/>
        </w:rPr>
      </w:r>
    </w:p>
    <w:p>
      <w:pPr>
        <w:ind w:right="-199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426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 в паспорт муниципальной программы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Формирование современной городской среды»</w:t>
      </w:r>
      <w:r>
        <w:rPr>
          <w:sz w:val="28"/>
          <w:szCs w:val="28"/>
        </w:rPr>
      </w:r>
    </w:p>
    <w:p>
      <w:pPr>
        <w:ind w:right="-426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муниципального образования «Город Воткинск»</w:t>
      </w:r>
      <w:r>
        <w:rPr>
          <w:sz w:val="28"/>
          <w:szCs w:val="28"/>
        </w:rPr>
      </w:r>
    </w:p>
    <w:p>
      <w:pPr>
        <w:ind w:right="-426" w:firstLine="709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42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</w:t>
      </w:r>
      <w:r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позицию «Ресурсное обеспечение </w:t>
      </w:r>
      <w:r>
        <w:rPr>
          <w:sz w:val="28"/>
          <w:szCs w:val="28"/>
        </w:rPr>
        <w:t xml:space="preserve">муниципальной программы»</w:t>
      </w:r>
      <w:r>
        <w:rPr>
          <w:sz w:val="28"/>
          <w:szCs w:val="28"/>
        </w:rPr>
        <w:t xml:space="preserve"> изложить в следующей редакции:</w:t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</w:r>
    </w:p>
    <w:tbl>
      <w:tblPr>
        <w:tblW w:w="14742" w:type="dxa"/>
        <w:tblInd w:w="10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418"/>
        <w:gridCol w:w="13324"/>
      </w:tblGrid>
      <w:tr>
        <w:tblPrEx/>
        <w:trPr>
          <w:trHeight w:val="420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Ресурсное обеспечение муниципальной программы</w:t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4" w:type="dxa"/>
            <w:textDirection w:val="lrTb"/>
            <w:noWrap w:val="false"/>
          </w:tcPr>
          <w:p>
            <w:pPr>
              <w:spacing w:before="240" w:after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Общий объем финансирования мероприятий программы составит 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  <w:t xml:space="preserve">3961,8</w:t>
            </w:r>
            <w:r>
              <w:rPr>
                <w:sz w:val="24"/>
                <w:szCs w:val="24"/>
              </w:rPr>
              <w:t xml:space="preserve"> тыс. рублей</w:t>
            </w:r>
            <w:r>
              <w:rPr>
                <w:sz w:val="24"/>
                <w:szCs w:val="24"/>
              </w:rPr>
              <w:t xml:space="preserve">, в том числе по источникам финансирования и годам реализации муниципальной программы (в тыс. руб.):</w:t>
            </w:r>
            <w:r>
              <w:rPr>
                <w:sz w:val="24"/>
                <w:szCs w:val="24"/>
              </w:rPr>
            </w:r>
          </w:p>
          <w:tbl>
            <w:tblPr>
              <w:tblStyle w:val="758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90"/>
              <w:gridCol w:w="992"/>
              <w:gridCol w:w="851"/>
              <w:gridCol w:w="850"/>
              <w:gridCol w:w="993"/>
              <w:gridCol w:w="850"/>
              <w:gridCol w:w="851"/>
              <w:gridCol w:w="850"/>
              <w:gridCol w:w="851"/>
              <w:gridCol w:w="850"/>
              <w:gridCol w:w="851"/>
              <w:gridCol w:w="850"/>
              <w:gridCol w:w="851"/>
              <w:gridCol w:w="850"/>
              <w:gridCol w:w="851"/>
            </w:tblGrid>
            <w:tr>
              <w:tblPrEx/>
              <w:trPr/>
              <w:tc>
                <w:tcPr>
                  <w:tcW w:w="890" w:type="dxa"/>
                  <w:textDirection w:val="lrTb"/>
                  <w:noWrap w:val="false"/>
                </w:tcPr>
                <w:p>
                  <w:pPr>
                    <w:spacing w:before="240" w:after="24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tcW w:w="992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Всего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2018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2019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993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2020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2021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2022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2023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2024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2025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2026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2027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2028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0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2029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W w:w="851" w:type="dxa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2030 г.</w:t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W w:w="890" w:type="dxa"/>
                  <w:textDirection w:val="lrTb"/>
                  <w:noWrap w:val="false"/>
                </w:tcPr>
                <w:p>
                  <w:pPr>
                    <w:spacing w:before="240" w:after="24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Бюджет города</w:t>
                  </w:r>
                  <w:r>
                    <w:rPr>
                      <w:sz w:val="14"/>
                      <w:szCs w:val="14"/>
                    </w:rPr>
                  </w:r>
                </w:p>
              </w:tc>
              <w:tc>
                <w:tcP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ind w:left="-14" w:firstLine="14"/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116</w:t>
                  </w:r>
                  <w:r>
                    <w:rPr>
                      <w:sz w:val="16"/>
                      <w:szCs w:val="16"/>
                    </w:rPr>
                    <w:t xml:space="preserve">3961,8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41181,2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159582,6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199460,4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142426,4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49819,9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135727,2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</w:t>
                  </w:r>
                  <w:r>
                    <w:rPr>
                      <w:sz w:val="16"/>
                      <w:szCs w:val="16"/>
                    </w:rPr>
                    <w:t xml:space="preserve">18253,</w:t>
                  </w:r>
                  <w:r>
                    <w:rPr>
                      <w:sz w:val="16"/>
                      <w:szCs w:val="16"/>
                    </w:rPr>
                    <w:t xml:space="preserve">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183045,4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31054,9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24772,7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25050,5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26750,5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26836,3</w:t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blPrEx/>
              <w:trPr/>
              <w:tc>
                <w:tcPr>
                  <w:tcW w:w="890" w:type="dxa"/>
                  <w:textDirection w:val="lrTb"/>
                  <w:noWrap w:val="false"/>
                </w:tcPr>
                <w:p>
                  <w:pPr>
                    <w:spacing w:before="240" w:after="24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в том числе</w:t>
                  </w:r>
                  <w:r>
                    <w:rPr>
                      <w:sz w:val="14"/>
                      <w:szCs w:val="14"/>
                    </w:rPr>
                  </w:r>
                </w:p>
              </w:tc>
              <w:tc>
                <w:tcP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blPrEx/>
              <w:trPr/>
              <w:tc>
                <w:tcPr>
                  <w:tcW w:w="890" w:type="dxa"/>
                  <w:textDirection w:val="lrTb"/>
                  <w:noWrap w:val="false"/>
                </w:tcPr>
                <w:p>
                  <w:pPr>
                    <w:spacing w:before="240" w:after="24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Собственные средства</w:t>
                  </w:r>
                  <w:r>
                    <w:rPr>
                      <w:sz w:val="14"/>
                      <w:szCs w:val="14"/>
                    </w:rPr>
                  </w:r>
                </w:p>
              </w:tc>
              <w:tc>
                <w:tcP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15</w:t>
                  </w:r>
                  <w:r>
                    <w:rPr>
                      <w:sz w:val="16"/>
                      <w:szCs w:val="16"/>
                    </w:rPr>
                    <w:t xml:space="preserve">7007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5178,1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750,0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48 279,8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24813,0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440,2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3632,5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7885,5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10876,5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1564,7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26750,5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26836,3</w:t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blPrEx/>
              <w:trPr/>
              <w:tc>
                <w:tcPr>
                  <w:tcW w:w="890" w:type="dxa"/>
                  <w:textDirection w:val="lrTb"/>
                  <w:noWrap w:val="false"/>
                </w:tcPr>
                <w:p>
                  <w:pPr>
                    <w:spacing w:before="240" w:after="24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Средства бюджета Удмуртской Республики</w:t>
                  </w:r>
                  <w:r>
                    <w:rPr>
                      <w:sz w:val="14"/>
                      <w:szCs w:val="14"/>
                    </w:rPr>
                  </w:r>
                </w:p>
              </w:tc>
              <w:tc>
                <w:tcP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36</w:t>
                  </w:r>
                  <w:r>
                    <w:rPr>
                      <w:sz w:val="16"/>
                      <w:szCs w:val="16"/>
                    </w:rPr>
                    <w:t xml:space="preserve">2791,6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6158,8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114253,0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113 068,8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772,7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3319,1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1389,8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80</w:t>
                  </w:r>
                  <w:r>
                    <w:rPr>
                      <w:sz w:val="16"/>
                      <w:szCs w:val="16"/>
                    </w:rPr>
                    <w:t xml:space="preserve">674,9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38874,0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3284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495,5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501,</w:t>
                  </w:r>
                  <w:r>
                    <w:rPr>
                      <w:sz w:val="16"/>
                      <w:szCs w:val="16"/>
                    </w:rPr>
                    <w:t xml:space="preserve">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blPrEx/>
              <w:trPr/>
              <w:tc>
                <w:tcPr>
                  <w:tcW w:w="890" w:type="dxa"/>
                  <w:textDirection w:val="lrTb"/>
                  <w:noWrap w:val="false"/>
                </w:tcPr>
                <w:p>
                  <w:pPr>
                    <w:spacing w:before="240" w:after="24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Средства бюджета Российско</w:t>
                  </w:r>
                  <w:r>
                    <w:rPr>
                      <w:sz w:val="14"/>
                      <w:szCs w:val="14"/>
                    </w:rPr>
                    <w:t xml:space="preserve">го Федерации</w:t>
                  </w:r>
                  <w:r>
                    <w:rPr>
                      <w:sz w:val="14"/>
                      <w:szCs w:val="14"/>
                    </w:rPr>
                  </w:r>
                </w:p>
              </w:tc>
              <w:tc>
                <w:tcP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608195,8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26254,7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40512,5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34557,0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115594,0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41005,4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125535,7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</w:t>
                  </w:r>
                  <w:r>
                    <w:rPr>
                      <w:sz w:val="16"/>
                      <w:szCs w:val="16"/>
                    </w:rPr>
                    <w:t xml:space="preserve">1822,7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129880,8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24206,2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24277,3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24549,5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  <w:tr>
              <w:tblPrEx/>
              <w:trPr/>
              <w:tc>
                <w:tcPr>
                  <w:tcW w:w="890" w:type="dxa"/>
                  <w:textDirection w:val="lrTb"/>
                  <w:noWrap w:val="false"/>
                </w:tcPr>
                <w:p>
                  <w:pPr>
                    <w:spacing w:before="240" w:after="24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 xml:space="preserve">Иные источники</w:t>
                  </w:r>
                  <w:r>
                    <w:rPr>
                      <w:sz w:val="14"/>
                      <w:szCs w:val="14"/>
                    </w:rPr>
                  </w:r>
                </w:p>
              </w:tc>
              <w:tc>
                <w:tcPr>
                  <w:tcW w:w="99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</w:t>
                  </w:r>
                  <w:r>
                    <w:rPr>
                      <w:sz w:val="16"/>
                      <w:szCs w:val="16"/>
                    </w:rPr>
                    <w:t xml:space="preserve">5967,4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3589,6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4067,2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99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3554,8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1246,7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5055,2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5169,2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7870,6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3414,1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2</w:t>
                  </w:r>
                  <w:r>
                    <w:rPr>
                      <w:sz w:val="16"/>
                      <w:szCs w:val="16"/>
                    </w:rPr>
                    <w:t xml:space="preserve">000</w:t>
                  </w:r>
                  <w:r>
                    <w:rPr>
                      <w:sz w:val="16"/>
                      <w:szCs w:val="16"/>
                    </w:rPr>
                    <w:t xml:space="preserve">,</w:t>
                  </w:r>
                  <w:r>
                    <w:rPr>
                      <w:sz w:val="16"/>
                      <w:szCs w:val="16"/>
                    </w:rPr>
                    <w:t xml:space="preserve">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0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  <w:tc>
                <w:tcPr>
                  <w:tcW w:w="8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before="240" w:after="240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0,0</w:t>
                  </w:r>
                  <w:r>
                    <w:rPr>
                      <w:sz w:val="16"/>
                      <w:szCs w:val="16"/>
                    </w:rPr>
                  </w:r>
                </w:p>
              </w:tc>
            </w:tr>
          </w:tbl>
          <w:p>
            <w:pPr>
              <w:spacing w:before="240" w:after="240"/>
            </w:pPr>
            <w:r>
              <w:rPr>
                <w:sz w:val="24"/>
                <w:szCs w:val="24"/>
              </w:rPr>
              <w:t xml:space="preserve">Ресурсное обеспечение программы за счет всех источников финансирования подлежит уточнению в рамках бюджетного цикла.</w:t>
            </w:r>
            <w:r/>
          </w:p>
        </w:tc>
      </w:tr>
    </w:tbl>
    <w:p>
      <w:pPr>
        <w:ind w:right="-425" w:firstLine="709"/>
        <w:jc w:val="both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»;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 позицию «Целевые показатели (индикат</w:t>
      </w:r>
      <w:r>
        <w:rPr>
          <w:sz w:val="28"/>
          <w:szCs w:val="28"/>
        </w:rPr>
        <w:t xml:space="preserve">ор</w:t>
      </w:r>
      <w:r>
        <w:rPr>
          <w:sz w:val="28"/>
          <w:szCs w:val="28"/>
        </w:rPr>
        <w:t xml:space="preserve">ы) муниципальной программы» изложить в следующей редакции:</w:t>
      </w:r>
      <w:r>
        <w:rPr>
          <w:sz w:val="28"/>
          <w:szCs w:val="28"/>
        </w:rPr>
      </w:r>
    </w:p>
    <w:p>
      <w:pPr>
        <w:ind w:right="-425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</w:t>
      </w:r>
      <w:r>
        <w:rPr>
          <w:sz w:val="28"/>
          <w:szCs w:val="28"/>
        </w:rPr>
      </w:r>
    </w:p>
    <w:tbl>
      <w:tblPr>
        <w:tblW w:w="14742" w:type="dxa"/>
        <w:tblInd w:w="100" w:type="dxa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985"/>
        <w:gridCol w:w="12757"/>
      </w:tblGrid>
      <w:tr>
        <w:tblPrEx/>
        <w:trPr>
          <w:trHeight w:val="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Целевые показатели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(индикаторы) муниципальной программы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7" w:type="dxa"/>
            <w:textDirection w:val="lrTb"/>
            <w:noWrap w:val="false"/>
          </w:tcPr>
          <w:p>
            <w:pPr>
              <w:numPr>
                <w:ilvl w:val="0"/>
                <w:numId w:val="34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 площадь благоустроенных дворовых территорий (обеспеченных твердым покрытием, позволяющим комфорт</w:t>
            </w:r>
            <w:r>
              <w:rPr>
                <w:sz w:val="24"/>
                <w:szCs w:val="24"/>
              </w:rPr>
              <w:t xml:space="preserve">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отходов), ед./кв.м.;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благоустроенных дворовых территорий многоквартирных домов от общего количества дворовых территорий (нарастающим итогом, начиная с 2018 г.), проценты;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общественных территорий (парки, скверы, набережные и т.д.), благоустроенных за год, ед.;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общественных территорий (парки, скверы, набережные и т.д.), благоустроенных за год, кв.м.;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благоустроенных общественных территорий, приходящаяся на 1 жителя муниципального образования, кв.м.;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4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финансового участия граждан, организаций в выполнении мероприятий по благоустройству дворовых территорий, общественных территорий, тыс.руб.;</w:t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</w:t>
            </w:r>
            <w:r>
              <w:rPr>
                <w:color w:val="000000"/>
                <w:sz w:val="24"/>
                <w:szCs w:val="24"/>
              </w:rPr>
              <w:t xml:space="preserve">рудовое участие граждан, организаций в выполнении мероприятий по благоустройству территорий города, количество проведенных мероприятий по благоустройству</w:t>
            </w:r>
            <w:r>
              <w:rPr>
                <w:color w:val="000000"/>
                <w:sz w:val="24"/>
                <w:szCs w:val="24"/>
              </w:rPr>
              <w:t xml:space="preserve">;</w:t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Количество зданий, на которых выполнены работы по благоустройству внешнего облика фасадов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538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»;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) позицию «Ожидаемые конечные результаты муниципальной программы» изложить в следующей редакции:</w:t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«</w:t>
      </w:r>
      <w:r>
        <w:rPr>
          <w:sz w:val="28"/>
          <w:szCs w:val="28"/>
        </w:rPr>
      </w:r>
    </w:p>
    <w:tbl>
      <w:tblPr>
        <w:tblW w:w="14175" w:type="dxa"/>
        <w:tblInd w:w="242" w:type="dxa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827"/>
        <w:gridCol w:w="12348"/>
      </w:tblGrid>
      <w:tr>
        <w:tblPrEx/>
        <w:trPr>
          <w:trHeight w:val="1"/>
        </w:trPr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7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конечные результаты муниципальной</w:t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программы</w:t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348" w:type="dxa"/>
            <w:textDirection w:val="lrTb"/>
            <w:noWrap w:val="false"/>
          </w:tcPr>
          <w:p>
            <w:pPr>
              <w:numPr>
                <w:ilvl w:val="0"/>
                <w:numId w:val="35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и площадь благоустроенных дворовых территорий (обеспеченных твердым покрытием, позволяющим</w:t>
            </w:r>
            <w:r>
              <w:rPr>
                <w:sz w:val="24"/>
                <w:szCs w:val="24"/>
              </w:rPr>
              <w:t xml:space="preserve"> комфортное передвижение по основным пешеходным коммуникациям в любое время года и в любую погоду, освещением, игровым оборудованием для детей возрастом до пяти лет и набором необходимой мебели, озеленением, оборудованными площадками для сбора отходов) – 1</w:t>
            </w:r>
            <w:r>
              <w:rPr>
                <w:sz w:val="24"/>
                <w:szCs w:val="24"/>
              </w:rPr>
              <w:t xml:space="preserve">33</w:t>
            </w:r>
            <w:r>
              <w:rPr>
                <w:sz w:val="24"/>
                <w:szCs w:val="24"/>
              </w:rPr>
              <w:t xml:space="preserve"> ед./</w:t>
            </w: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  <w:t xml:space="preserve">20466</w:t>
            </w:r>
            <w:r>
              <w:rPr>
                <w:sz w:val="24"/>
                <w:szCs w:val="24"/>
              </w:rPr>
              <w:t xml:space="preserve"> кв.м.;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благоустроенных дворовых территорий многоквартирных домов от общего количества дворовых территорий (нарастающим итогом, начиная с 2018 г.) – 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%;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общественных территорий (парки, скверы, набережные и т.д.) - </w:t>
            </w:r>
            <w:r>
              <w:rPr>
                <w:sz w:val="24"/>
                <w:szCs w:val="24"/>
              </w:rPr>
              <w:t xml:space="preserve">21</w:t>
            </w:r>
            <w:r>
              <w:rPr>
                <w:sz w:val="24"/>
                <w:szCs w:val="24"/>
              </w:rPr>
              <w:t xml:space="preserve"> ед.;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благоустроенных общественных территорий (парки, скверы, набережные и т.д.) – </w:t>
            </w:r>
            <w:r>
              <w:rPr>
                <w:sz w:val="24"/>
                <w:szCs w:val="24"/>
              </w:rPr>
              <w:t xml:space="preserve">98649,4</w:t>
            </w:r>
            <w:r>
              <w:rPr>
                <w:sz w:val="24"/>
                <w:szCs w:val="24"/>
              </w:rPr>
              <w:t xml:space="preserve"> кв.м.;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благоустроенных общественных территорий, приходящаяся на 1 жителя муниципального образования, - 5</w:t>
            </w:r>
            <w:r>
              <w:rPr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  <w:t xml:space="preserve"> кв.м.;</w:t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35"/>
              </w:numPr>
              <w:jc w:val="both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финансового участия граждан, организаций в выполнении мероприятий по благоустройству дворовых территорий, общественных территорий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33</w:t>
            </w:r>
            <w:r>
              <w:rPr>
                <w:sz w:val="24"/>
                <w:szCs w:val="24"/>
              </w:rPr>
              <w:t xml:space="preserve">538,25</w:t>
            </w:r>
            <w:r>
              <w:rPr>
                <w:sz w:val="24"/>
                <w:szCs w:val="24"/>
              </w:rPr>
              <w:t xml:space="preserve"> тыс.руб.;</w:t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Трудовое участие граждан, организаций в выполнении мероприятий по благоустройству территорий города, количество проведенных мероприятий по благоустройству - 1</w:t>
            </w:r>
            <w:r>
              <w:rPr>
                <w:sz w:val="24"/>
                <w:szCs w:val="24"/>
              </w:rPr>
              <w:t xml:space="preserve">54</w:t>
            </w:r>
            <w:r>
              <w:rPr>
                <w:sz w:val="24"/>
                <w:szCs w:val="24"/>
              </w:rPr>
              <w:t xml:space="preserve"> мероприяти</w:t>
            </w:r>
            <w:r>
              <w:rPr>
                <w:sz w:val="24"/>
                <w:szCs w:val="24"/>
              </w:rPr>
              <w:t xml:space="preserve">я</w:t>
            </w:r>
            <w:r>
              <w:rPr>
                <w:sz w:val="24"/>
                <w:szCs w:val="24"/>
              </w:rPr>
              <w:t xml:space="preserve">;</w:t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Количество зданий, на которых выполнены работы по благоустройству внешнего облика фасадов – 3 ед.</w:t>
            </w:r>
            <w:r>
              <w:rPr>
                <w:sz w:val="24"/>
                <w:szCs w:val="24"/>
              </w:rPr>
            </w:r>
          </w:p>
        </w:tc>
      </w:tr>
    </w:tbl>
    <w:p>
      <w:pPr>
        <w:ind w:right="538"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ind w:right="-425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538"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ind w:right="538"/>
        <w:jc w:val="righ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538"/>
        <w:jc w:val="both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</w:p>
    <w:p>
      <w:pPr>
        <w:jc w:val="both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</w:p>
    <w:sectPr>
      <w:footnotePr/>
      <w:endnotePr/>
      <w:type w:val="nextPage"/>
      <w:pgSz w:w="16840" w:h="11907" w:orient="landscape"/>
      <w:pgMar w:top="1701" w:right="567" w:bottom="737" w:left="1134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Symbol">
    <w:panose1 w:val="05010000000000000000"/>
  </w:font>
  <w:font w:name="Wingdings">
    <w:panose1 w:val="05010000000000000000"/>
  </w:font>
  <w:font w:name="Lucida Sans Unicode">
    <w:panose1 w:val="020B0603030804020204"/>
  </w:font>
  <w:font w:name="Andale Sans UI">
    <w:panose1 w:val="020B0606020202030204"/>
  </w:font>
  <w:font w:name="Times New Roman">
    <w:panose1 w:val="02020603050405020304"/>
  </w:font>
  <w:font w:name="Courier New">
    <w:panose1 w:val="02070409020205020404"/>
  </w:font>
  <w:font w:name="Tahoma">
    <w:panose1 w:val="020B060402020202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Zero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color w:val="000000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hint="eastAsia" w:ascii="SimSun" w:hAnsi="SimSun" w:eastAsia="SimSun"/>
      </w:rPr>
    </w:lvl>
    <w:lvl w:ilvl="1">
      <w:start w:val="1"/>
      <w:numFmt w:val="decimal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95" w:hanging="360"/>
        <w:tabs>
          <w:tab w:val="num" w:pos="1495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15" w:hanging="360"/>
        <w:tabs>
          <w:tab w:val="num" w:pos="221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935" w:hanging="180"/>
        <w:tabs>
          <w:tab w:val="num" w:pos="293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655" w:hanging="360"/>
        <w:tabs>
          <w:tab w:val="num" w:pos="365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75" w:hanging="360"/>
        <w:tabs>
          <w:tab w:val="num" w:pos="437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95" w:hanging="180"/>
        <w:tabs>
          <w:tab w:val="num" w:pos="509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815" w:hanging="360"/>
        <w:tabs>
          <w:tab w:val="num" w:pos="581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535" w:hanging="360"/>
        <w:tabs>
          <w:tab w:val="num" w:pos="653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255" w:hanging="180"/>
        <w:tabs>
          <w:tab w:val="num" w:pos="7255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3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5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7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9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1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3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5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7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95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i/>
      </w:rPr>
    </w:lvl>
    <w:lvl w:ilvl="1">
      <w:start w:val="1"/>
      <w:numFmt w:val="decimal"/>
      <w:isLgl w:val="false"/>
      <w:suff w:val="tab"/>
      <w:lvlText w:val="%2."/>
      <w:lvlJc w:val="left"/>
      <w:pPr>
        <w:ind w:left="1364" w:hanging="360"/>
        <w:tabs>
          <w:tab w:val="num" w:pos="1364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084" w:hanging="360"/>
        <w:tabs>
          <w:tab w:val="num" w:pos="2084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  <w:tabs>
          <w:tab w:val="num" w:pos="2804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524" w:hanging="360"/>
        <w:tabs>
          <w:tab w:val="num" w:pos="3524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244" w:hanging="360"/>
        <w:tabs>
          <w:tab w:val="num" w:pos="4244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  <w:tabs>
          <w:tab w:val="num" w:pos="4964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684" w:hanging="360"/>
        <w:tabs>
          <w:tab w:val="num" w:pos="5684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04" w:hanging="360"/>
        <w:tabs>
          <w:tab w:val="num" w:pos="6404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0" w:firstLine="0"/>
      </w:pPr>
      <w:rPr>
        <w:rFonts w:hint="eastAsia" w:ascii="SimSun" w:hAnsi="SimSun" w:eastAsia="SimSu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3"/>
      <w:numFmt w:val="decimal"/>
      <w:isLgl/>
      <w:suff w:val="tab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</w:lvl>
  </w:abstractNum>
  <w:abstractNum w:abstractNumId="16">
    <w:multiLevelType w:val="hybridMultilevel"/>
    <w:lvl w:ilvl="0">
      <w:start w:val="1"/>
      <w:numFmt w:val="bullet"/>
      <w:pStyle w:val="787"/>
      <w:isLgl w:val="false"/>
      <w:suff w:val="tab"/>
      <w:lvlText w:val="●"/>
      <w:lvlJc w:val="left"/>
      <w:pPr>
        <w:ind w:left="284" w:hanging="284"/>
        <w:tabs>
          <w:tab w:val="num" w:pos="0" w:leader="none"/>
        </w:tabs>
      </w:pPr>
      <w:rPr>
        <w:rFonts w:hint="default" w:ascii="Arial" w:hAnsi="Arial" w:cs="Times New Roman"/>
        <w:color w:val="auto"/>
        <w:sz w:val="20"/>
      </w:rPr>
    </w:lvl>
    <w:lvl w:ilvl="1">
      <w:start w:val="1"/>
      <w:numFmt w:val="bullet"/>
      <w:isLgl w:val="false"/>
      <w:suff w:val="tab"/>
      <w:lvlText w:val="●"/>
      <w:lvlJc w:val="left"/>
      <w:pPr>
        <w:ind w:left="851" w:hanging="284"/>
        <w:tabs>
          <w:tab w:val="num" w:pos="851" w:leader="none"/>
        </w:tabs>
      </w:pPr>
      <w:rPr>
        <w:rFonts w:hint="default" w:ascii="Arial" w:hAnsi="Arial" w:cs="Times New Roman"/>
        <w:color w:val="auto"/>
      </w:rPr>
    </w:lvl>
    <w:lvl w:ilvl="2">
      <w:start w:val="1"/>
      <w:numFmt w:val="bullet"/>
      <w:isLgl w:val="false"/>
      <w:suff w:val="tab"/>
      <w:lvlText w:val="●"/>
      <w:lvlJc w:val="left"/>
      <w:pPr>
        <w:ind w:left="1418" w:hanging="284"/>
        <w:tabs>
          <w:tab w:val="num" w:pos="1418" w:leader="none"/>
        </w:tabs>
      </w:pPr>
      <w:rPr>
        <w:rFonts w:hint="default" w:ascii="Arial" w:hAnsi="Arial" w:cs="Times New Roman"/>
        <w:color w:val="auto"/>
      </w:rPr>
    </w:lvl>
    <w:lvl w:ilvl="3">
      <w:start w:val="1"/>
      <w:numFmt w:val="decimal"/>
      <w:isLgl w:val="false"/>
      <w:suff w:val="tab"/>
      <w:lvlText w:val="(%4)"/>
      <w:lvlJc w:val="left"/>
      <w:pPr>
        <w:ind w:left="1985" w:hanging="284"/>
        <w:tabs>
          <w:tab w:val="num" w:pos="1701" w:leader="none"/>
        </w:tabs>
      </w:pPr>
    </w:lvl>
    <w:lvl w:ilvl="4">
      <w:start w:val="1"/>
      <w:numFmt w:val="lowerLetter"/>
      <w:isLgl w:val="false"/>
      <w:suff w:val="tab"/>
      <w:lvlText w:val="(%5)"/>
      <w:lvlJc w:val="left"/>
      <w:pPr>
        <w:ind w:left="2552" w:hanging="284"/>
        <w:tabs>
          <w:tab w:val="num" w:pos="2268" w:leader="none"/>
        </w:tabs>
      </w:pPr>
    </w:lvl>
    <w:lvl w:ilvl="5">
      <w:start w:val="1"/>
      <w:numFmt w:val="lowerRoman"/>
      <w:isLgl w:val="false"/>
      <w:suff w:val="tab"/>
      <w:lvlText w:val="(%6)"/>
      <w:lvlJc w:val="left"/>
      <w:pPr>
        <w:ind w:left="3119" w:hanging="284"/>
        <w:tabs>
          <w:tab w:val="num" w:pos="283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86" w:hanging="284"/>
        <w:tabs>
          <w:tab w:val="num" w:pos="3402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4253" w:hanging="284"/>
        <w:tabs>
          <w:tab w:val="num" w:pos="3969" w:leader="none"/>
        </w:tabs>
      </w:pPr>
    </w:lvl>
    <w:lvl w:ilvl="8">
      <w:start w:val="1"/>
      <w:numFmt w:val="lowerRoman"/>
      <w:isLgl w:val="false"/>
      <w:suff w:val="tab"/>
      <w:lvlText w:val="%9."/>
      <w:lvlJc w:val="left"/>
      <w:pPr>
        <w:ind w:left="4820" w:hanging="284"/>
        <w:tabs>
          <w:tab w:val="num" w:pos="4536" w:leader="none"/>
        </w:tabs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5.1.%1."/>
      <w:legacy w:legacy="1" w:legacyIndent="662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40" w:hanging="360"/>
        <w:tabs>
          <w:tab w:val="num" w:pos="144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60" w:hanging="360"/>
        <w:tabs>
          <w:tab w:val="num" w:pos="216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00" w:hanging="360"/>
        <w:tabs>
          <w:tab w:val="num" w:pos="360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20" w:hanging="360"/>
        <w:tabs>
          <w:tab w:val="num" w:pos="432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60" w:hanging="360"/>
        <w:tabs>
          <w:tab w:val="num" w:pos="576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80" w:hanging="360"/>
        <w:tabs>
          <w:tab w:val="num" w:pos="648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00" w:hanging="360"/>
        <w:tabs>
          <w:tab w:val="num" w:pos="7200" w:leader="none"/>
        </w:tabs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5.2.%1."/>
      <w:legacy w:legacy="1" w:legacyIndent="655" w:legacySpace="0"/>
      <w:lvlJc w:val="left"/>
      <w:pPr/>
      <w:rPr>
        <w:rFonts w:hint="default" w:ascii="Times New Roman" w:hAnsi="Times New Roman" w:cs="Times New Roman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egacy w:legacy="1" w:legacyIndent="283" w:legacySpace="0"/>
      <w:lvlJc w:val="left"/>
      <w:pPr>
        <w:ind w:left="283" w:hanging="283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5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7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9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1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3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5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7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9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18" w:hanging="180"/>
      </w:pPr>
    </w:lvl>
  </w:abstractNum>
  <w:num w:numId="1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137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2">
    <w:abstractNumId w:val="20"/>
  </w:num>
  <w:num w:numId="3">
    <w:abstractNumId w:val="30"/>
  </w:num>
  <w:num w:numId="4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136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5">
    <w:abstractNumId w:val="0"/>
    <w:lvlOverride w:ilvl="0">
      <w:lvl w:ilvl="0">
        <w:start w:val="65535"/>
        <w:numFmt w:val="bullet"/>
        <w:isLgl w:val="false"/>
        <w:suff w:val="tab"/>
        <w:lvlText w:val="-"/>
        <w:legacy w:legacy="1" w:legacyIndent="202" w:legacySpace="0"/>
        <w:lvlJc w:val="left"/>
        <w:pPr/>
        <w:rPr>
          <w:rFonts w:hint="default" w:ascii="Times New Roman" w:hAnsi="Times New Roman" w:cs="Times New Roman"/>
        </w:rPr>
      </w:lvl>
    </w:lvlOverride>
  </w:num>
  <w:num w:numId="6">
    <w:abstractNumId w:val="31"/>
  </w:num>
  <w:num w:numId="7">
    <w:abstractNumId w:val="26"/>
  </w:num>
  <w:num w:numId="8">
    <w:abstractNumId w:val="28"/>
  </w:num>
  <w:num w:numId="9">
    <w:abstractNumId w:val="18"/>
  </w:num>
  <w:num w:numId="10">
    <w:abstractNumId w:val="23"/>
  </w:num>
  <w:num w:numId="11">
    <w:abstractNumId w:val="11"/>
  </w:num>
  <w:num w:numId="12">
    <w:abstractNumId w:val="10"/>
  </w:num>
  <w:num w:numId="13">
    <w:abstractNumId w:val="25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6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7"/>
  </w:num>
  <w:num w:numId="20">
    <w:abstractNumId w:val="32"/>
  </w:num>
  <w:num w:numId="21">
    <w:abstractNumId w:val="2"/>
  </w:num>
  <w:num w:numId="22">
    <w:abstractNumId w:val="19"/>
  </w:num>
  <w:num w:numId="23">
    <w:abstractNumId w:val="22"/>
  </w:num>
  <w:num w:numId="24">
    <w:abstractNumId w:val="24"/>
  </w:num>
  <w:num w:numId="25">
    <w:abstractNumId w:val="21"/>
  </w:num>
  <w:num w:numId="26">
    <w:abstractNumId w:val="17"/>
  </w:num>
  <w:num w:numId="27">
    <w:abstractNumId w:val="14"/>
  </w:num>
  <w:num w:numId="28">
    <w:abstractNumId w:val="7"/>
  </w:num>
  <w:num w:numId="29">
    <w:abstractNumId w:val="1"/>
  </w:num>
  <w:num w:numId="30">
    <w:abstractNumId w:val="6"/>
  </w:num>
  <w:num w:numId="31">
    <w:abstractNumId w:val="13"/>
  </w:num>
  <w:num w:numId="32">
    <w:abstractNumId w:val="8"/>
  </w:num>
  <w:num w:numId="33">
    <w:abstractNumId w:val="3"/>
  </w:num>
  <w:num w:numId="34">
    <w:abstractNumId w:val="12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31"/>
    <w:link w:val="722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31"/>
    <w:link w:val="723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31"/>
    <w:link w:val="724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731"/>
    <w:link w:val="725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731"/>
    <w:link w:val="726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73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731"/>
    <w:link w:val="72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731"/>
    <w:link w:val="729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731"/>
    <w:link w:val="730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31"/>
    <w:link w:val="741"/>
    <w:uiPriority w:val="10"/>
    <w:rPr>
      <w:sz w:val="48"/>
      <w:szCs w:val="48"/>
    </w:rPr>
  </w:style>
  <w:style w:type="paragraph" w:styleId="36">
    <w:name w:val="Subtitle"/>
    <w:basedOn w:val="721"/>
    <w:next w:val="721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31"/>
    <w:link w:val="36"/>
    <w:uiPriority w:val="11"/>
    <w:rPr>
      <w:sz w:val="24"/>
      <w:szCs w:val="24"/>
    </w:rPr>
  </w:style>
  <w:style w:type="paragraph" w:styleId="38">
    <w:name w:val="Quote"/>
    <w:basedOn w:val="721"/>
    <w:next w:val="721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21"/>
    <w:next w:val="721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31"/>
    <w:link w:val="744"/>
    <w:uiPriority w:val="99"/>
  </w:style>
  <w:style w:type="character" w:styleId="45">
    <w:name w:val="Footer Char"/>
    <w:basedOn w:val="731"/>
    <w:link w:val="742"/>
    <w:uiPriority w:val="99"/>
  </w:style>
  <w:style w:type="character" w:styleId="47">
    <w:name w:val="Caption Char"/>
    <w:basedOn w:val="749"/>
    <w:link w:val="742"/>
    <w:uiPriority w:val="99"/>
  </w:style>
  <w:style w:type="table" w:styleId="49">
    <w:name w:val="Table Grid Light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62"/>
    <w:uiPriority w:val="99"/>
    <w:rPr>
      <w:sz w:val="18"/>
    </w:rPr>
  </w:style>
  <w:style w:type="character" w:styleId="179">
    <w:name w:val="Endnote Text Char"/>
    <w:link w:val="759"/>
    <w:uiPriority w:val="99"/>
    <w:rPr>
      <w:sz w:val="20"/>
    </w:rPr>
  </w:style>
  <w:style w:type="paragraph" w:styleId="182">
    <w:name w:val="toc 2"/>
    <w:basedOn w:val="721"/>
    <w:next w:val="721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1"/>
    <w:next w:val="721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1"/>
    <w:next w:val="721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1"/>
    <w:next w:val="721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1"/>
    <w:next w:val="721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1"/>
    <w:next w:val="721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1"/>
    <w:next w:val="721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1"/>
    <w:next w:val="721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1"/>
    <w:next w:val="721"/>
    <w:uiPriority w:val="99"/>
    <w:unhideWhenUsed/>
    <w:pPr>
      <w:spacing w:after="0" w:afterAutospacing="0"/>
    </w:pPr>
  </w:style>
  <w:style w:type="paragraph" w:styleId="721" w:default="1">
    <w:name w:val="Normal"/>
    <w:qFormat/>
    <w:pPr>
      <w:widowControl w:val="off"/>
    </w:pPr>
  </w:style>
  <w:style w:type="paragraph" w:styleId="722">
    <w:name w:val="Heading 1"/>
    <w:basedOn w:val="721"/>
    <w:next w:val="721"/>
    <w:link w:val="790"/>
    <w:qFormat/>
    <w:pPr>
      <w:keepNext/>
      <w:spacing w:before="240" w:after="60"/>
      <w:outlineLvl w:val="0"/>
    </w:pPr>
    <w:rPr>
      <w:rFonts w:ascii="Arial" w:hAnsi="Arial"/>
      <w:b/>
      <w:bCs/>
      <w:sz w:val="32"/>
      <w:szCs w:val="32"/>
    </w:rPr>
  </w:style>
  <w:style w:type="paragraph" w:styleId="723">
    <w:name w:val="Heading 2"/>
    <w:basedOn w:val="721"/>
    <w:next w:val="721"/>
    <w:link w:val="753"/>
    <w:uiPriority w:val="9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724">
    <w:name w:val="Heading 3"/>
    <w:basedOn w:val="721"/>
    <w:next w:val="721"/>
    <w:link w:val="757"/>
    <w:uiPriority w:val="9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25">
    <w:name w:val="Heading 4"/>
    <w:basedOn w:val="721"/>
    <w:next w:val="721"/>
    <w:link w:val="792"/>
    <w:qFormat/>
    <w:pPr>
      <w:jc w:val="center"/>
      <w:keepNext/>
      <w:widowControl/>
      <w:outlineLvl w:val="3"/>
    </w:pPr>
    <w:rPr>
      <w:b/>
    </w:rPr>
  </w:style>
  <w:style w:type="paragraph" w:styleId="726">
    <w:name w:val="Heading 5"/>
    <w:basedOn w:val="721"/>
    <w:next w:val="721"/>
    <w:link w:val="770"/>
    <w:uiPriority w:val="9"/>
    <w:qFormat/>
    <w:pPr>
      <w:keepLines/>
      <w:keepNext/>
      <w:spacing w:before="200"/>
      <w:outlineLvl w:val="4"/>
    </w:pPr>
    <w:rPr>
      <w:rFonts w:ascii="Cambria" w:hAnsi="Cambria"/>
      <w:color w:val="243f60"/>
    </w:rPr>
  </w:style>
  <w:style w:type="paragraph" w:styleId="727">
    <w:name w:val="Heading 6"/>
    <w:basedOn w:val="721"/>
    <w:next w:val="721"/>
    <w:link w:val="754"/>
    <w:uiPriority w:val="9"/>
    <w:qFormat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28">
    <w:name w:val="Heading 7"/>
    <w:basedOn w:val="721"/>
    <w:next w:val="721"/>
    <w:link w:val="779"/>
    <w:uiPriority w:val="9"/>
    <w:qFormat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729">
    <w:name w:val="Heading 8"/>
    <w:basedOn w:val="721"/>
    <w:next w:val="721"/>
    <w:link w:val="771"/>
    <w:qFormat/>
    <w:pPr>
      <w:keepLines/>
      <w:keepNext/>
      <w:spacing w:before="200"/>
      <w:outlineLvl w:val="7"/>
    </w:pPr>
    <w:rPr>
      <w:rFonts w:ascii="Cambria" w:hAnsi="Cambria"/>
      <w:color w:val="404040"/>
    </w:rPr>
  </w:style>
  <w:style w:type="paragraph" w:styleId="730">
    <w:name w:val="Heading 9"/>
    <w:basedOn w:val="721"/>
    <w:next w:val="721"/>
    <w:link w:val="780"/>
    <w:uiPriority w:val="9"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731" w:default="1">
    <w:name w:val="Default Paragraph Font"/>
    <w:uiPriority w:val="1"/>
    <w:semiHidden/>
    <w:unhideWhenUsed/>
  </w:style>
  <w:style w:type="table" w:styleId="7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3" w:default="1">
    <w:name w:val="No List"/>
    <w:uiPriority w:val="99"/>
    <w:semiHidden/>
    <w:unhideWhenUsed/>
  </w:style>
  <w:style w:type="paragraph" w:styleId="734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735">
    <w:name w:val="Document Map"/>
    <w:basedOn w:val="721"/>
    <w:semiHidden/>
    <w:pPr>
      <w:shd w:val="clear" w:color="auto" w:fill="000080"/>
    </w:pPr>
    <w:rPr>
      <w:rFonts w:ascii="Tahoma" w:hAnsi="Tahoma"/>
    </w:rPr>
  </w:style>
  <w:style w:type="paragraph" w:styleId="736" w:customStyle="1">
    <w:name w:val="ConsPlusNonformat"/>
    <w:pPr>
      <w:widowControl w:val="off"/>
    </w:pPr>
    <w:rPr>
      <w:rFonts w:ascii="Courier New" w:hAnsi="Courier New" w:cs="Tahoma"/>
    </w:rPr>
  </w:style>
  <w:style w:type="paragraph" w:styleId="737">
    <w:name w:val="Body Text Indent 3"/>
    <w:basedOn w:val="721"/>
    <w:pPr>
      <w:ind w:firstLine="567"/>
      <w:jc w:val="both"/>
      <w:widowControl/>
    </w:pPr>
    <w:rPr>
      <w:b/>
      <w:sz w:val="24"/>
    </w:rPr>
  </w:style>
  <w:style w:type="paragraph" w:styleId="738">
    <w:name w:val="Body Text 2"/>
    <w:basedOn w:val="721"/>
    <w:link w:val="774"/>
    <w:pPr>
      <w:jc w:val="both"/>
      <w:shd w:val="clear" w:color="auto" w:fill="ffffff"/>
      <w:widowControl/>
    </w:pPr>
    <w:rPr>
      <w:sz w:val="24"/>
      <w:szCs w:val="24"/>
    </w:rPr>
  </w:style>
  <w:style w:type="paragraph" w:styleId="739">
    <w:name w:val="Body Text Indent 2"/>
    <w:basedOn w:val="721"/>
    <w:link w:val="793"/>
    <w:pPr>
      <w:ind w:left="283"/>
      <w:spacing w:after="120" w:line="480" w:lineRule="auto"/>
    </w:pPr>
  </w:style>
  <w:style w:type="paragraph" w:styleId="740">
    <w:name w:val="Body Text"/>
    <w:basedOn w:val="721"/>
    <w:link w:val="784"/>
    <w:pPr>
      <w:spacing w:after="120"/>
    </w:pPr>
  </w:style>
  <w:style w:type="paragraph" w:styleId="741">
    <w:name w:val="Title"/>
    <w:basedOn w:val="721"/>
    <w:link w:val="765"/>
    <w:qFormat/>
    <w:pPr>
      <w:jc w:val="center"/>
      <w:widowControl/>
    </w:pPr>
    <w:rPr>
      <w:b/>
      <w:sz w:val="28"/>
    </w:rPr>
  </w:style>
  <w:style w:type="paragraph" w:styleId="742">
    <w:name w:val="Footer"/>
    <w:basedOn w:val="721"/>
    <w:link w:val="788"/>
    <w:uiPriority w:val="99"/>
    <w:pPr>
      <w:tabs>
        <w:tab w:val="center" w:pos="4677" w:leader="none"/>
        <w:tab w:val="right" w:pos="9355" w:leader="none"/>
      </w:tabs>
    </w:pPr>
  </w:style>
  <w:style w:type="character" w:styleId="743">
    <w:name w:val="page number"/>
    <w:basedOn w:val="731"/>
  </w:style>
  <w:style w:type="paragraph" w:styleId="744">
    <w:name w:val="Header"/>
    <w:basedOn w:val="721"/>
    <w:link w:val="752"/>
    <w:uiPriority w:val="99"/>
    <w:pPr>
      <w:tabs>
        <w:tab w:val="center" w:pos="4677" w:leader="none"/>
        <w:tab w:val="right" w:pos="9355" w:leader="none"/>
      </w:tabs>
    </w:pPr>
  </w:style>
  <w:style w:type="paragraph" w:styleId="745" w:customStyle="1">
    <w:name w:val="ConsNonformat"/>
    <w:pPr>
      <w:widowControl w:val="off"/>
    </w:pPr>
    <w:rPr>
      <w:rFonts w:ascii="Courier New" w:hAnsi="Courier New" w:cs="Tahoma"/>
    </w:rPr>
  </w:style>
  <w:style w:type="paragraph" w:styleId="746" w:customStyle="1">
    <w:name w:val="ConsNormal"/>
    <w:pPr>
      <w:ind w:firstLine="720"/>
      <w:widowControl w:val="off"/>
    </w:pPr>
    <w:rPr>
      <w:rFonts w:ascii="Arial" w:hAnsi="Arial" w:cs="Arial"/>
    </w:rPr>
  </w:style>
  <w:style w:type="paragraph" w:styleId="747">
    <w:name w:val="toc 1"/>
    <w:basedOn w:val="721"/>
    <w:next w:val="721"/>
    <w:semiHidden/>
  </w:style>
  <w:style w:type="character" w:styleId="748">
    <w:name w:val="Hyperlink"/>
    <w:rPr>
      <w:color w:val="0000ff"/>
      <w:u w:val="single"/>
    </w:rPr>
  </w:style>
  <w:style w:type="paragraph" w:styleId="749">
    <w:name w:val="Caption"/>
    <w:basedOn w:val="721"/>
    <w:next w:val="721"/>
    <w:qFormat/>
    <w:rPr>
      <w:b/>
      <w:bCs/>
    </w:rPr>
  </w:style>
  <w:style w:type="paragraph" w:styleId="750">
    <w:name w:val="Body Text Indent"/>
    <w:basedOn w:val="721"/>
    <w:link w:val="751"/>
    <w:unhideWhenUsed/>
    <w:pPr>
      <w:ind w:left="283"/>
      <w:spacing w:after="120"/>
    </w:pPr>
  </w:style>
  <w:style w:type="character" w:styleId="751" w:customStyle="1">
    <w:name w:val="Основной текст с отступом Знак"/>
    <w:basedOn w:val="731"/>
    <w:link w:val="750"/>
    <w:uiPriority w:val="99"/>
  </w:style>
  <w:style w:type="character" w:styleId="752" w:customStyle="1">
    <w:name w:val="Верхний колонтитул Знак"/>
    <w:basedOn w:val="731"/>
    <w:link w:val="744"/>
    <w:uiPriority w:val="99"/>
  </w:style>
  <w:style w:type="character" w:styleId="753" w:customStyle="1">
    <w:name w:val="Заголовок 2 Знак"/>
    <w:link w:val="723"/>
    <w:uiPriority w:val="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754" w:customStyle="1">
    <w:name w:val="Заголовок 6 Знак"/>
    <w:link w:val="727"/>
    <w:uiPriority w:val="9"/>
    <w:semiHidden/>
    <w:rPr>
      <w:rFonts w:ascii="Calibri" w:hAnsi="Calibri" w:eastAsia="Times New Roman" w:cs="Times New Roman"/>
      <w:b/>
      <w:bCs/>
      <w:sz w:val="22"/>
      <w:szCs w:val="22"/>
    </w:rPr>
  </w:style>
  <w:style w:type="paragraph" w:styleId="755">
    <w:name w:val="Body Text 3"/>
    <w:basedOn w:val="721"/>
    <w:link w:val="756"/>
    <w:pPr>
      <w:spacing w:after="120"/>
      <w:widowControl/>
    </w:pPr>
    <w:rPr>
      <w:sz w:val="16"/>
      <w:szCs w:val="16"/>
    </w:rPr>
  </w:style>
  <w:style w:type="character" w:styleId="756" w:customStyle="1">
    <w:name w:val="Основной текст 3 Знак"/>
    <w:link w:val="755"/>
    <w:rPr>
      <w:sz w:val="16"/>
      <w:szCs w:val="16"/>
    </w:rPr>
  </w:style>
  <w:style w:type="character" w:styleId="757" w:customStyle="1">
    <w:name w:val="Заголовок 3 Знак"/>
    <w:link w:val="724"/>
    <w:uiPriority w:val="9"/>
    <w:semiHidden/>
    <w:rPr>
      <w:rFonts w:ascii="Cambria" w:hAnsi="Cambria" w:eastAsia="Times New Roman" w:cs="Times New Roman"/>
      <w:b/>
      <w:bCs/>
      <w:sz w:val="26"/>
      <w:szCs w:val="26"/>
    </w:rPr>
  </w:style>
  <w:style w:type="table" w:styleId="758">
    <w:name w:val="Table Grid"/>
    <w:basedOn w:val="732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759">
    <w:name w:val="endnote text"/>
    <w:basedOn w:val="721"/>
    <w:link w:val="760"/>
    <w:uiPriority w:val="99"/>
    <w:semiHidden/>
    <w:unhideWhenUsed/>
  </w:style>
  <w:style w:type="character" w:styleId="760" w:customStyle="1">
    <w:name w:val="Текст концевой сноски Знак"/>
    <w:basedOn w:val="731"/>
    <w:link w:val="759"/>
    <w:uiPriority w:val="99"/>
    <w:semiHidden/>
  </w:style>
  <w:style w:type="character" w:styleId="761">
    <w:name w:val="endnote reference"/>
    <w:uiPriority w:val="99"/>
    <w:semiHidden/>
    <w:unhideWhenUsed/>
    <w:rPr>
      <w:vertAlign w:val="superscript"/>
    </w:rPr>
  </w:style>
  <w:style w:type="paragraph" w:styleId="762">
    <w:name w:val="footnote text"/>
    <w:basedOn w:val="721"/>
    <w:link w:val="763"/>
    <w:uiPriority w:val="99"/>
    <w:unhideWhenUsed/>
  </w:style>
  <w:style w:type="character" w:styleId="763" w:customStyle="1">
    <w:name w:val="Текст сноски Знак"/>
    <w:basedOn w:val="731"/>
    <w:link w:val="762"/>
    <w:uiPriority w:val="99"/>
  </w:style>
  <w:style w:type="character" w:styleId="764">
    <w:name w:val="footnote reference"/>
    <w:unhideWhenUsed/>
    <w:rPr>
      <w:vertAlign w:val="superscript"/>
    </w:rPr>
  </w:style>
  <w:style w:type="character" w:styleId="765" w:customStyle="1">
    <w:name w:val="Заголовок Знак"/>
    <w:link w:val="741"/>
    <w:rPr>
      <w:b/>
      <w:sz w:val="28"/>
    </w:rPr>
  </w:style>
  <w:style w:type="paragraph" w:styleId="766">
    <w:name w:val="Balloon Text"/>
    <w:basedOn w:val="721"/>
    <w:link w:val="767"/>
    <w:uiPriority w:val="99"/>
    <w:semiHidden/>
    <w:unhideWhenUsed/>
    <w:rPr>
      <w:rFonts w:ascii="Tahoma" w:hAnsi="Tahoma"/>
      <w:sz w:val="16"/>
      <w:szCs w:val="16"/>
    </w:rPr>
  </w:style>
  <w:style w:type="character" w:styleId="767" w:customStyle="1">
    <w:name w:val="Текст выноски Знак"/>
    <w:link w:val="766"/>
    <w:uiPriority w:val="99"/>
    <w:semiHidden/>
    <w:rPr>
      <w:rFonts w:ascii="Tahoma" w:hAnsi="Tahoma" w:cs="Tahoma"/>
      <w:sz w:val="16"/>
      <w:szCs w:val="16"/>
    </w:rPr>
  </w:style>
  <w:style w:type="paragraph" w:styleId="768" w:customStyle="1">
    <w:name w:val="Подпись к Приложению"/>
    <w:basedOn w:val="721"/>
    <w:pPr>
      <w:jc w:val="center"/>
      <w:spacing w:before="80"/>
      <w:widowControl/>
    </w:pPr>
    <w:rPr>
      <w:b/>
    </w:rPr>
  </w:style>
  <w:style w:type="paragraph" w:styleId="769" w:customStyle="1">
    <w:name w:val="ConsCell"/>
    <w:pPr>
      <w:widowControl w:val="off"/>
    </w:pPr>
    <w:rPr>
      <w:rFonts w:ascii="Arial" w:hAnsi="Arial" w:cs="Arial"/>
    </w:rPr>
  </w:style>
  <w:style w:type="character" w:styleId="770" w:customStyle="1">
    <w:name w:val="Заголовок 5 Знак"/>
    <w:link w:val="726"/>
    <w:uiPriority w:val="9"/>
    <w:semiHidden/>
    <w:rPr>
      <w:rFonts w:ascii="Cambria" w:hAnsi="Cambria" w:eastAsia="Times New Roman" w:cs="Times New Roman"/>
      <w:color w:val="243f60"/>
    </w:rPr>
  </w:style>
  <w:style w:type="character" w:styleId="771" w:customStyle="1">
    <w:name w:val="Заголовок 8 Знак"/>
    <w:link w:val="729"/>
    <w:rPr>
      <w:rFonts w:ascii="Cambria" w:hAnsi="Cambria" w:eastAsia="Times New Roman" w:cs="Times New Roman"/>
      <w:color w:val="404040"/>
    </w:rPr>
  </w:style>
  <w:style w:type="paragraph" w:styleId="772">
    <w:name w:val="Normal (Web)"/>
    <w:basedOn w:val="721"/>
    <w:uiPriority w:val="99"/>
    <w:pPr>
      <w:spacing w:before="100" w:beforeAutospacing="1" w:after="100" w:afterAutospacing="1"/>
      <w:widowControl/>
    </w:pPr>
    <w:rPr>
      <w:sz w:val="24"/>
      <w:szCs w:val="24"/>
    </w:rPr>
  </w:style>
  <w:style w:type="paragraph" w:styleId="773" w:customStyle="1">
    <w:name w:val="Default"/>
    <w:rPr>
      <w:color w:val="000000"/>
      <w:sz w:val="24"/>
      <w:szCs w:val="24"/>
    </w:rPr>
  </w:style>
  <w:style w:type="character" w:styleId="774" w:customStyle="1">
    <w:name w:val="Основной текст 2 Знак"/>
    <w:link w:val="738"/>
    <w:rPr>
      <w:sz w:val="24"/>
      <w:szCs w:val="24"/>
      <w:shd w:val="clear" w:color="auto" w:fill="ffffff"/>
    </w:rPr>
  </w:style>
  <w:style w:type="character" w:styleId="775">
    <w:name w:val="Emphasis"/>
    <w:qFormat/>
    <w:rPr>
      <w:i/>
      <w:iCs/>
    </w:rPr>
  </w:style>
  <w:style w:type="paragraph" w:styleId="776" w:customStyle="1">
    <w:name w:val="Комментарий"/>
    <w:basedOn w:val="721"/>
    <w:next w:val="721"/>
    <w:pPr>
      <w:ind w:left="170"/>
      <w:jc w:val="both"/>
    </w:pPr>
    <w:rPr>
      <w:rFonts w:ascii="Arial" w:hAnsi="Arial" w:cs="Arial"/>
      <w:i/>
      <w:iCs/>
      <w:color w:val="800080"/>
      <w:sz w:val="28"/>
      <w:szCs w:val="28"/>
    </w:rPr>
  </w:style>
  <w:style w:type="paragraph" w:styleId="777" w:customStyle="1">
    <w:name w:val="msonormalbullet2.gif"/>
    <w:basedOn w:val="721"/>
    <w:pPr>
      <w:spacing w:before="100" w:beforeAutospacing="1" w:after="100" w:afterAutospacing="1"/>
      <w:widowControl/>
    </w:pPr>
    <w:rPr>
      <w:sz w:val="24"/>
      <w:szCs w:val="24"/>
    </w:rPr>
  </w:style>
  <w:style w:type="paragraph" w:styleId="778" w:customStyle="1">
    <w:name w:val="Обычный1"/>
    <w:rPr>
      <w:rFonts w:ascii="Arial" w:hAnsi="Arial"/>
      <w:sz w:val="18"/>
    </w:rPr>
  </w:style>
  <w:style w:type="character" w:styleId="779" w:customStyle="1">
    <w:name w:val="Заголовок 7 Знак"/>
    <w:link w:val="728"/>
    <w:uiPriority w:val="9"/>
    <w:semiHidden/>
    <w:rPr>
      <w:rFonts w:ascii="Calibri" w:hAnsi="Calibri" w:eastAsia="Times New Roman" w:cs="Times New Roman"/>
      <w:sz w:val="24"/>
      <w:szCs w:val="24"/>
    </w:rPr>
  </w:style>
  <w:style w:type="character" w:styleId="780" w:customStyle="1">
    <w:name w:val="Заголовок 9 Знак"/>
    <w:link w:val="730"/>
    <w:uiPriority w:val="9"/>
    <w:semiHidden/>
    <w:rPr>
      <w:rFonts w:ascii="Cambria" w:hAnsi="Cambria" w:eastAsia="Times New Roman" w:cs="Times New Roman"/>
      <w:sz w:val="22"/>
      <w:szCs w:val="22"/>
    </w:rPr>
  </w:style>
  <w:style w:type="paragraph" w:styleId="781" w:customStyle="1">
    <w:name w:val="Содержимое таблицы"/>
    <w:basedOn w:val="721"/>
    <w:pPr>
      <w:suppressLineNumbers/>
    </w:pPr>
    <w:rPr>
      <w:rFonts w:eastAsia="Andale Sans UI"/>
      <w:sz w:val="24"/>
      <w:szCs w:val="24"/>
      <w:lang w:eastAsia="ar-SA"/>
    </w:rPr>
  </w:style>
  <w:style w:type="paragraph" w:styleId="782" w:customStyle="1">
    <w:name w:val="s_16"/>
    <w:basedOn w:val="721"/>
    <w:pPr>
      <w:spacing w:before="100" w:beforeAutospacing="1" w:after="100" w:afterAutospacing="1"/>
      <w:widowControl/>
    </w:pPr>
    <w:rPr>
      <w:sz w:val="24"/>
      <w:szCs w:val="24"/>
    </w:rPr>
  </w:style>
  <w:style w:type="paragraph" w:styleId="783" w:customStyle="1">
    <w:name w:val="ConsPlusTitle"/>
    <w:pPr>
      <w:widowControl w:val="off"/>
    </w:pPr>
    <w:rPr>
      <w:rFonts w:ascii="Arial" w:hAnsi="Arial" w:cs="Arial"/>
      <w:b/>
      <w:bCs/>
      <w:sz w:val="16"/>
      <w:szCs w:val="16"/>
    </w:rPr>
  </w:style>
  <w:style w:type="character" w:styleId="784" w:customStyle="1">
    <w:name w:val="Основной текст Знак"/>
    <w:basedOn w:val="731"/>
    <w:link w:val="740"/>
  </w:style>
  <w:style w:type="paragraph" w:styleId="785">
    <w:name w:val="List Paragraph"/>
    <w:basedOn w:val="721"/>
    <w:uiPriority w:val="34"/>
    <w:qFormat/>
    <w:pPr>
      <w:contextualSpacing/>
      <w:ind w:left="720"/>
      <w:widowControl/>
    </w:pPr>
    <w:rPr>
      <w:rFonts w:eastAsia="Calibri"/>
      <w:sz w:val="24"/>
      <w:szCs w:val="24"/>
    </w:rPr>
  </w:style>
  <w:style w:type="paragraph" w:styleId="786">
    <w:name w:val="No Spacing"/>
    <w:qFormat/>
    <w:rPr>
      <w:rFonts w:ascii="Calibri" w:hAnsi="Calibri" w:eastAsia="Calibri"/>
      <w:sz w:val="22"/>
      <w:szCs w:val="22"/>
      <w:lang w:eastAsia="en-US"/>
    </w:rPr>
  </w:style>
  <w:style w:type="paragraph" w:styleId="787">
    <w:name w:val="List Bullet"/>
    <w:basedOn w:val="785"/>
    <w:unhideWhenUsed/>
    <w:qFormat/>
    <w:pPr>
      <w:numPr>
        <w:ilvl w:val="0"/>
        <w:numId w:val="17"/>
      </w:numPr>
      <w:contextualSpacing w:val="0"/>
      <w:ind w:left="709" w:firstLine="0"/>
      <w:jc w:val="both"/>
      <w:spacing w:before="60"/>
      <w:tabs>
        <w:tab w:val="clear" w:pos="0" w:leader="none"/>
        <w:tab w:val="num" w:pos="360" w:leader="none"/>
      </w:tabs>
    </w:pPr>
    <w:rPr>
      <w:rFonts w:ascii="Arial" w:hAnsi="Arial"/>
      <w:sz w:val="20"/>
      <w:szCs w:val="20"/>
      <w:lang w:eastAsia="en-US"/>
    </w:rPr>
  </w:style>
  <w:style w:type="character" w:styleId="788" w:customStyle="1">
    <w:name w:val="Нижний колонтитул Знак"/>
    <w:link w:val="742"/>
    <w:uiPriority w:val="99"/>
  </w:style>
  <w:style w:type="paragraph" w:styleId="789" w:customStyle="1">
    <w:name w:val="Основной текст с отступом 21"/>
    <w:basedOn w:val="721"/>
    <w:pPr>
      <w:ind w:firstLine="720"/>
      <w:jc w:val="both"/>
      <w:widowControl/>
    </w:pPr>
    <w:rPr>
      <w:sz w:val="28"/>
      <w:lang w:eastAsia="ar-SA"/>
    </w:rPr>
  </w:style>
  <w:style w:type="character" w:styleId="790" w:customStyle="1">
    <w:name w:val="Заголовок 1 Знак"/>
    <w:link w:val="722"/>
    <w:rPr>
      <w:rFonts w:ascii="Arial" w:hAnsi="Arial" w:cs="Arial"/>
      <w:b/>
      <w:bCs/>
      <w:sz w:val="32"/>
      <w:szCs w:val="32"/>
    </w:rPr>
  </w:style>
  <w:style w:type="paragraph" w:styleId="791" w:customStyle="1">
    <w:name w:val="Стиль"/>
    <w:pPr>
      <w:widowControl w:val="off"/>
    </w:pPr>
    <w:rPr>
      <w:rFonts w:ascii="Arial" w:hAnsi="Arial" w:cs="Arial"/>
      <w:sz w:val="22"/>
      <w:szCs w:val="22"/>
    </w:rPr>
  </w:style>
  <w:style w:type="character" w:styleId="792" w:customStyle="1">
    <w:name w:val="Заголовок 4 Знак"/>
    <w:link w:val="725"/>
    <w:rPr>
      <w:b/>
    </w:rPr>
  </w:style>
  <w:style w:type="character" w:styleId="793" w:customStyle="1">
    <w:name w:val="Основной текст с отступом 2 Знак"/>
    <w:basedOn w:val="731"/>
    <w:link w:val="739"/>
  </w:style>
  <w:style w:type="paragraph" w:styleId="794" w:customStyle="1">
    <w:name w:val="Заголовок1"/>
    <w:basedOn w:val="721"/>
    <w:next w:val="740"/>
    <w:pPr>
      <w:keepNext/>
      <w:spacing w:before="240" w:after="120"/>
      <w:widowControl/>
    </w:pPr>
    <w:rPr>
      <w:rFonts w:ascii="Arial" w:hAnsi="Arial" w:eastAsia="Lucida Sans Unicode" w:cs="Tahoma"/>
      <w:sz w:val="28"/>
      <w:szCs w:val="28"/>
      <w:lang w:eastAsia="ar-SA"/>
    </w:rPr>
  </w:style>
  <w:style w:type="paragraph" w:styleId="795">
    <w:name w:val="HTML Preformatted"/>
    <w:basedOn w:val="721"/>
    <w:link w:val="796"/>
    <w:uiPriority w:val="99"/>
    <w:semiHidden/>
    <w:unhideWhenUsed/>
    <w:pPr>
      <w:widowControl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</w:rPr>
  </w:style>
  <w:style w:type="character" w:styleId="796" w:customStyle="1">
    <w:name w:val="Стандартный HTML Знак"/>
    <w:link w:val="795"/>
    <w:uiPriority w:val="99"/>
    <w:semiHidden/>
    <w:rPr>
      <w:rFonts w:ascii="Courier New" w:hAnsi="Courier New" w:cs="Courier New"/>
    </w:rPr>
  </w:style>
  <w:style w:type="paragraph" w:styleId="797" w:customStyle="1">
    <w:name w:val="s_1"/>
    <w:basedOn w:val="721"/>
    <w:pPr>
      <w:spacing w:before="100" w:beforeAutospacing="1" w:after="100" w:afterAutospacing="1"/>
      <w:widowControl/>
    </w:pPr>
    <w:rPr>
      <w:sz w:val="24"/>
      <w:szCs w:val="24"/>
    </w:rPr>
  </w:style>
  <w:style w:type="character" w:styleId="798">
    <w:name w:val="Strong"/>
    <w:basedOn w:val="731"/>
    <w:uiPriority w:val="22"/>
    <w:qFormat/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390F6-2BFA-4D1D-85C5-0503C9BC0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polina</dc:creator>
  <cp:lastModifiedBy>Малкова Светлана</cp:lastModifiedBy>
  <cp:revision>190</cp:revision>
  <dcterms:created xsi:type="dcterms:W3CDTF">2022-07-16T05:46:00Z</dcterms:created>
  <dcterms:modified xsi:type="dcterms:W3CDTF">2026-05-18T07:33:58Z</dcterms:modified>
</cp:coreProperties>
</file>